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E8C458" w14:textId="77777777" w:rsidR="006A5BA6" w:rsidRDefault="00B66B5C">
      <w:pPr>
        <w:jc w:val="center"/>
        <w:rPr>
          <w:b/>
          <w:sz w:val="36"/>
          <w:szCs w:val="36"/>
        </w:rPr>
      </w:pPr>
      <w:r>
        <w:rPr>
          <w:b/>
          <w:sz w:val="36"/>
          <w:szCs w:val="36"/>
        </w:rPr>
        <w:t>Vocabulary for Newton’s 2nd Law</w:t>
      </w:r>
    </w:p>
    <w:p w14:paraId="672A6659" w14:textId="77777777" w:rsidR="006A5BA6" w:rsidRDefault="006A5BA6"/>
    <w:p w14:paraId="0A37501D" w14:textId="77777777" w:rsidR="006A5BA6" w:rsidRDefault="006A5BA6"/>
    <w:tbl>
      <w:tblPr>
        <w:tblW w:w="936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836"/>
        <w:gridCol w:w="7524"/>
      </w:tblGrid>
      <w:tr w:rsidR="006A5BA6" w14:paraId="13ABB8EF" w14:textId="77777777">
        <w:trPr>
          <w:trHeight w:val="858"/>
        </w:trPr>
        <w:tc>
          <w:tcPr>
            <w:tcW w:w="1836" w:type="dxa"/>
            <w:tcBorders>
              <w:top w:val="single" w:sz="5" w:space="0" w:color="D9D9E3"/>
              <w:left w:val="single" w:sz="5" w:space="0" w:color="D9D9E3"/>
              <w:bottom w:val="single" w:sz="5" w:space="0" w:color="D9D9E3"/>
              <w:right w:val="nil"/>
            </w:tcBorders>
            <w:shd w:val="clear" w:color="auto" w:fill="F7F7F8"/>
            <w:tcMar>
              <w:top w:w="100" w:type="dxa"/>
              <w:left w:w="100" w:type="dxa"/>
              <w:bottom w:w="100" w:type="dxa"/>
              <w:right w:w="100" w:type="dxa"/>
            </w:tcMar>
            <w:vAlign w:val="bottom"/>
          </w:tcPr>
          <w:p w14:paraId="081F4EBF" w14:textId="77777777" w:rsidR="006A5BA6" w:rsidRDefault="00B66B5C">
            <w:pPr>
              <w:spacing w:before="380" w:after="380" w:line="411" w:lineRule="auto"/>
              <w:jc w:val="center"/>
              <w:rPr>
                <w:rFonts w:ascii="Roboto" w:eastAsia="Roboto" w:hAnsi="Roboto" w:cs="Roboto"/>
                <w:color w:val="374151"/>
                <w:sz w:val="23"/>
                <w:szCs w:val="23"/>
              </w:rPr>
            </w:pPr>
            <w:r>
              <w:rPr>
                <w:rFonts w:ascii="Roboto" w:eastAsia="Roboto" w:hAnsi="Roboto" w:cs="Roboto"/>
                <w:b/>
                <w:color w:val="374151"/>
                <w:sz w:val="23"/>
                <w:szCs w:val="23"/>
              </w:rPr>
              <w:t>Word</w:t>
            </w:r>
          </w:p>
        </w:tc>
        <w:tc>
          <w:tcPr>
            <w:tcW w:w="7523" w:type="dxa"/>
            <w:tcBorders>
              <w:top w:val="single" w:sz="5" w:space="0" w:color="D9D9E3"/>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bottom"/>
          </w:tcPr>
          <w:p w14:paraId="3DA1D686" w14:textId="77777777" w:rsidR="006A5BA6" w:rsidRDefault="00B66B5C">
            <w:pPr>
              <w:spacing w:before="380" w:after="380" w:line="411" w:lineRule="auto"/>
              <w:jc w:val="center"/>
              <w:rPr>
                <w:rFonts w:ascii="Roboto" w:eastAsia="Roboto" w:hAnsi="Roboto" w:cs="Roboto"/>
                <w:color w:val="374151"/>
                <w:sz w:val="23"/>
                <w:szCs w:val="23"/>
              </w:rPr>
            </w:pPr>
            <w:r>
              <w:rPr>
                <w:rFonts w:ascii="Roboto" w:eastAsia="Roboto" w:hAnsi="Roboto" w:cs="Roboto"/>
                <w:b/>
                <w:color w:val="374151"/>
                <w:sz w:val="23"/>
                <w:szCs w:val="23"/>
              </w:rPr>
              <w:t>Definition</w:t>
            </w:r>
          </w:p>
        </w:tc>
      </w:tr>
      <w:tr w:rsidR="006A5BA6" w14:paraId="78096235" w14:textId="77777777">
        <w:trPr>
          <w:trHeight w:val="105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71E43FB1"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Force</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69B1BF3F"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A push or pull acting on an object that can cause it to accelerate or change its state of motion.</w:t>
            </w:r>
          </w:p>
        </w:tc>
      </w:tr>
      <w:tr w:rsidR="006A5BA6" w14:paraId="30223071" w14:textId="77777777">
        <w:trPr>
          <w:trHeight w:val="69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6DA3B4C2"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Motion</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46CCDE76"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The change in position of an object over time with respect to a reference point.</w:t>
            </w:r>
          </w:p>
        </w:tc>
      </w:tr>
      <w:tr w:rsidR="006A5BA6" w14:paraId="5ACE8544" w14:textId="77777777">
        <w:trPr>
          <w:trHeight w:val="105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41675701"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Friction</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3089A3DA"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The force that opposes the relative motion or tendency of such motion between two surfaces in contact.</w:t>
            </w:r>
          </w:p>
        </w:tc>
      </w:tr>
      <w:tr w:rsidR="006A5BA6" w14:paraId="12C2E84E" w14:textId="77777777">
        <w:trPr>
          <w:trHeight w:val="105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066BBEC0"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Acceleration</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0872DDA4"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The rate of change of an object's velocity with respect to time, typically measured in meters per second squared (m/s²).</w:t>
            </w:r>
          </w:p>
        </w:tc>
      </w:tr>
      <w:tr w:rsidR="006A5BA6" w14:paraId="0810CDED" w14:textId="77777777">
        <w:trPr>
          <w:trHeight w:val="105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26658053"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Inertia</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0A665E16"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The tendency of an object to resist changes in its state of motion; it depends on the object's mass.</w:t>
            </w:r>
          </w:p>
        </w:tc>
      </w:tr>
      <w:tr w:rsidR="006A5BA6" w14:paraId="7F39C8FD" w14:textId="77777777">
        <w:trPr>
          <w:trHeight w:val="105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3D7CB3E4"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Velocity</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3F6030BF"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The speed of an object in a particular direction; it is a vector quantity with magnitude and direction.</w:t>
            </w:r>
          </w:p>
        </w:tc>
      </w:tr>
      <w:tr w:rsidR="006A5BA6" w14:paraId="27D919ED" w14:textId="77777777">
        <w:trPr>
          <w:trHeight w:val="105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7784DE4E"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Inverse Graph</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4CECF541"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A graph in which one variable increases as the other decreases, often represented as a hyperbola.y= k/x, where k is a constant</w:t>
            </w:r>
          </w:p>
        </w:tc>
      </w:tr>
      <w:tr w:rsidR="006A5BA6" w14:paraId="4CD8B63A" w14:textId="77777777">
        <w:trPr>
          <w:trHeight w:val="105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4CBF6A19"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Direct Graph</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23582F4A"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A graph in which one variable increases as the other increases, often represented as a straight line. y= kx, where k is a constant</w:t>
            </w:r>
          </w:p>
        </w:tc>
      </w:tr>
      <w:tr w:rsidR="006A5BA6" w14:paraId="0DB6DE2F" w14:textId="77777777">
        <w:trPr>
          <w:trHeight w:val="141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78F9D191"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Newton's First Law</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319C7479"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Also known as the law of inertia; it states that an object at rest tends to stay at rest, and an object in motion tends to stay in motion with the same speed and in the same direction unless acted upon by an external force.</w:t>
            </w:r>
          </w:p>
        </w:tc>
      </w:tr>
      <w:tr w:rsidR="006A5BA6" w14:paraId="1F110F64" w14:textId="77777777">
        <w:trPr>
          <w:trHeight w:val="141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378A2AFC"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Newton's Second Law</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14C2A495"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States that the acceleration of an object is directly proportional to the net force acting on it and inversely proportional to its mass; mathematically expressed as F = ma, where F is the force, m is the mass, and a is the acceleration.</w:t>
            </w:r>
          </w:p>
        </w:tc>
      </w:tr>
      <w:tr w:rsidR="006A5BA6" w14:paraId="3C3C4702" w14:textId="77777777">
        <w:trPr>
          <w:trHeight w:val="141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7294D5DB"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Newton's Third Law</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55F659DB"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States that for every action, there is an equal and opposite reaction; when one object exerts a force on another, the second object exerts an equal and opposite force on the first object.</w:t>
            </w:r>
          </w:p>
        </w:tc>
      </w:tr>
      <w:tr w:rsidR="006A5BA6" w14:paraId="11B98836" w14:textId="77777777">
        <w:trPr>
          <w:trHeight w:val="1055"/>
        </w:trPr>
        <w:tc>
          <w:tcPr>
            <w:tcW w:w="1836" w:type="dxa"/>
            <w:tcBorders>
              <w:top w:val="nil"/>
              <w:left w:val="single" w:sz="5" w:space="0" w:color="D9D9E3"/>
              <w:bottom w:val="single" w:sz="5" w:space="0" w:color="D9D9E3"/>
              <w:right w:val="nil"/>
            </w:tcBorders>
            <w:shd w:val="clear" w:color="auto" w:fill="F7F7F8"/>
            <w:tcMar>
              <w:top w:w="100" w:type="dxa"/>
              <w:left w:w="100" w:type="dxa"/>
              <w:bottom w:w="100" w:type="dxa"/>
              <w:right w:w="100" w:type="dxa"/>
            </w:tcMar>
            <w:vAlign w:val="center"/>
          </w:tcPr>
          <w:p w14:paraId="3C7C6BD7"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Mass</w:t>
            </w:r>
          </w:p>
        </w:tc>
        <w:tc>
          <w:tcPr>
            <w:tcW w:w="7523" w:type="dxa"/>
            <w:tcBorders>
              <w:top w:val="nil"/>
              <w:left w:val="single" w:sz="5" w:space="0" w:color="D9D9E3"/>
              <w:bottom w:val="single" w:sz="5" w:space="0" w:color="D9D9E3"/>
              <w:right w:val="single" w:sz="5" w:space="0" w:color="D9D9E3"/>
            </w:tcBorders>
            <w:shd w:val="clear" w:color="auto" w:fill="F7F7F8"/>
            <w:tcMar>
              <w:top w:w="100" w:type="dxa"/>
              <w:left w:w="100" w:type="dxa"/>
              <w:bottom w:w="100" w:type="dxa"/>
              <w:right w:w="100" w:type="dxa"/>
            </w:tcMar>
            <w:vAlign w:val="center"/>
          </w:tcPr>
          <w:p w14:paraId="4F6AF141" w14:textId="77777777" w:rsidR="006A5BA6" w:rsidRDefault="00B66B5C">
            <w:pPr>
              <w:spacing w:before="380" w:after="380" w:line="411" w:lineRule="auto"/>
              <w:rPr>
                <w:rFonts w:ascii="Roboto" w:eastAsia="Roboto" w:hAnsi="Roboto" w:cs="Roboto"/>
                <w:color w:val="374151"/>
                <w:sz w:val="23"/>
                <w:szCs w:val="23"/>
              </w:rPr>
            </w:pPr>
            <w:r>
              <w:rPr>
                <w:rFonts w:ascii="Roboto" w:eastAsia="Roboto" w:hAnsi="Roboto" w:cs="Roboto"/>
                <w:color w:val="374151"/>
                <w:sz w:val="23"/>
                <w:szCs w:val="23"/>
              </w:rPr>
              <w:t>A measure of the amount of matter in an object; it is typically measured in kilograms (kg) in the International System of Units (SI).</w:t>
            </w:r>
          </w:p>
        </w:tc>
      </w:tr>
    </w:tbl>
    <w:p w14:paraId="5DAB6C7B" w14:textId="77777777" w:rsidR="006A5BA6" w:rsidRDefault="006A5BA6"/>
    <w:p w14:paraId="02EB378F" w14:textId="77777777" w:rsidR="006A5BA6" w:rsidRDefault="006A5BA6"/>
    <w:sectPr w:rsidR="006A5BA6">
      <w:headerReference w:type="default" r:id="rId7"/>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718B14" w14:textId="77777777" w:rsidR="00D71BD7" w:rsidRDefault="00D71BD7">
      <w:pPr>
        <w:spacing w:line="240" w:lineRule="auto"/>
      </w:pPr>
      <w:r>
        <w:separator/>
      </w:r>
    </w:p>
  </w:endnote>
  <w:endnote w:type="continuationSeparator" w:id="0">
    <w:p w14:paraId="157D2735" w14:textId="77777777" w:rsidR="00D71BD7" w:rsidRDefault="00D71BD7">
      <w:pPr>
        <w:spacing w:line="240" w:lineRule="auto"/>
      </w:pPr>
      <w:r>
        <w:continuationSeparator/>
      </w:r>
    </w:p>
  </w:endnote>
  <w:endnote w:type="continuationNotice" w:id="1">
    <w:p w14:paraId="48FF8910" w14:textId="77777777" w:rsidR="00673C03" w:rsidRDefault="00673C0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altName w:val="Arial"/>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9360"/>
    </w:tblGrid>
    <w:tr w:rsidR="3DDC04C2" w14:paraId="520AB153" w14:textId="77777777" w:rsidTr="3DDC04C2">
      <w:trPr>
        <w:trHeight w:val="300"/>
      </w:trPr>
      <w:tc>
        <w:tcPr>
          <w:tcW w:w="9360" w:type="dxa"/>
        </w:tcPr>
        <w:p w14:paraId="489CA61C" w14:textId="6C6C645E" w:rsidR="3DDC04C2" w:rsidRDefault="3DDC04C2" w:rsidP="3DDC04C2">
          <w:pPr>
            <w:pStyle w:val="Header"/>
            <w:ind w:left="-115"/>
            <w:jc w:val="center"/>
          </w:pPr>
          <w:r>
            <w:rPr>
              <w:noProof/>
            </w:rPr>
            <w:drawing>
              <wp:inline distT="0" distB="0" distL="0" distR="0" wp14:anchorId="35C5BB14" wp14:editId="293B7B9C">
                <wp:extent cx="2716610" cy="352425"/>
                <wp:effectExtent l="0" t="0" r="0" b="0"/>
                <wp:docPr id="630944971" name="Picture 630944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2716610" cy="352425"/>
                        </a:xfrm>
                        <a:prstGeom prst="rect">
                          <a:avLst/>
                        </a:prstGeom>
                      </pic:spPr>
                    </pic:pic>
                  </a:graphicData>
                </a:graphic>
              </wp:inline>
            </w:drawing>
          </w:r>
        </w:p>
      </w:tc>
    </w:tr>
  </w:tbl>
  <w:p w14:paraId="611075D5" w14:textId="00B3239C" w:rsidR="3DDC04C2" w:rsidRDefault="3DDC04C2" w:rsidP="3DDC04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A74DEE" w14:textId="77777777" w:rsidR="00D71BD7" w:rsidRDefault="00D71BD7">
      <w:pPr>
        <w:spacing w:line="240" w:lineRule="auto"/>
      </w:pPr>
      <w:r>
        <w:separator/>
      </w:r>
    </w:p>
  </w:footnote>
  <w:footnote w:type="continuationSeparator" w:id="0">
    <w:p w14:paraId="2B77F5B8" w14:textId="77777777" w:rsidR="00D71BD7" w:rsidRDefault="00D71BD7">
      <w:pPr>
        <w:spacing w:line="240" w:lineRule="auto"/>
      </w:pPr>
      <w:r>
        <w:continuationSeparator/>
      </w:r>
    </w:p>
  </w:footnote>
  <w:footnote w:type="continuationNotice" w:id="1">
    <w:p w14:paraId="7E2E234B" w14:textId="77777777" w:rsidR="00673C03" w:rsidRDefault="00673C0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3DDC04C2" w14:paraId="6927F66F" w14:textId="77777777" w:rsidTr="3DDC04C2">
      <w:trPr>
        <w:trHeight w:val="300"/>
      </w:trPr>
      <w:tc>
        <w:tcPr>
          <w:tcW w:w="3120" w:type="dxa"/>
        </w:tcPr>
        <w:p w14:paraId="60F50B41" w14:textId="2B4CAC45" w:rsidR="3DDC04C2" w:rsidRDefault="3DDC04C2" w:rsidP="3DDC04C2">
          <w:pPr>
            <w:pStyle w:val="Header"/>
            <w:ind w:left="-115"/>
          </w:pPr>
        </w:p>
      </w:tc>
      <w:tc>
        <w:tcPr>
          <w:tcW w:w="3120" w:type="dxa"/>
        </w:tcPr>
        <w:p w14:paraId="7088F83C" w14:textId="1FB1F756" w:rsidR="3DDC04C2" w:rsidRDefault="3DDC04C2" w:rsidP="3DDC04C2">
          <w:pPr>
            <w:pStyle w:val="Header"/>
            <w:jc w:val="center"/>
          </w:pPr>
        </w:p>
      </w:tc>
      <w:tc>
        <w:tcPr>
          <w:tcW w:w="3120" w:type="dxa"/>
        </w:tcPr>
        <w:p w14:paraId="2C5BECFC" w14:textId="2AEB7E97" w:rsidR="3DDC04C2" w:rsidRDefault="3DDC04C2" w:rsidP="3DDC04C2">
          <w:pPr>
            <w:pStyle w:val="Header"/>
            <w:ind w:right="-115"/>
            <w:jc w:val="right"/>
          </w:pPr>
        </w:p>
      </w:tc>
    </w:tr>
  </w:tbl>
  <w:p w14:paraId="2ED48DD1" w14:textId="6C10CD5D" w:rsidR="3DDC04C2" w:rsidRDefault="3DDC04C2" w:rsidP="3DDC04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BA6"/>
    <w:rsid w:val="00185DFC"/>
    <w:rsid w:val="00673C03"/>
    <w:rsid w:val="006A5BA6"/>
    <w:rsid w:val="007B1324"/>
    <w:rsid w:val="00B66B5C"/>
    <w:rsid w:val="00D71BD7"/>
    <w:rsid w:val="0D0B42D9"/>
    <w:rsid w:val="3DDC04C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31E1C62"/>
  <w15:docId w15:val="{A5156634-96B1-4341-965B-4F17C8CEF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tcPr>
      <w:shd w:val="clear" w:color="auto" w:fill="F7F7F8"/>
    </w:tcPr>
  </w:style>
  <w:style w:type="table" w:styleId="TableGrid">
    <w:name w:val="Table Grid"/>
    <w:basedOn w:val="Table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277</Words>
  <Characters>1579</Characters>
  <Application>Microsoft Office Word</Application>
  <DocSecurity>4</DocSecurity>
  <Lines>13</Lines>
  <Paragraphs>3</Paragraphs>
  <ScaleCrop>false</ScaleCrop>
  <Company/>
  <LinksUpToDate>false</LinksUpToDate>
  <CharactersWithSpaces>1853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Michelle Hudson</cp:lastModifiedBy>
  <cp:revision>2</cp:revision>
  <dcterms:created xsi:type="dcterms:W3CDTF">2023-10-25T18:29:00Z</dcterms:created>
  <dcterms:modified xsi:type="dcterms:W3CDTF">2023-10-25T18:30:00Z</dcterms:modified>
</cp:coreProperties>
</file>